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35613998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ARS STUDIO - štúdio umenia, 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Škultétyho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94911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Nitra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